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318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38. Восстановление утраченного судебного производства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недостаточности собранных материалов для точного восстановления судебного постановления, связанного с утраченным судебным производством, суд определением прекращает производство по делу о восстановлении утраченного судебного производства и разъясняет лицам, участвующим в деле, право предъявить иск в общем порядке.</w:t>
      </w:r>
    </w:p>
    <w:p>
      <w:pPr>
        <w:spacing w:after="120"/>
        <w:ind w:firstLine="709"/>
      </w:pPr>
      <w:r>
        <w:rPr>
          <w:sz w:val="24"/>
        </w:rPr>
        <w:t xml:space="preserve">2. Рассмотрение заявления о восстановлении утраченного судебного производства не ограничивается сроком его хранения. Однако в случае обращения с заявлением о восстановлении утраченного судебного производства в целях его исполнения, если срок предъявления исполнительного листа к исполнению истек и судом не восстанавливается, суд также прекращает производство по делу о восстановлении утраченного судебного производства.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318</dc:title>
  <dc:creator>АРБИТРАЖ! · arbi.ru</dc:creator>
  <cp:lastModifiedBy>АРБИТРАЖ!</cp:lastModifiedBy>
  <dcterms:created xsi:type="dcterms:W3CDTF">2026-10-22T21:57:23.729Z</dcterms:created>
</cp:coreProperties>
</file>