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Решения суда первой инстанции, не вступившие в законную силу, могут быть обжалованы в апелляционном порядке в соответствии с правилами,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</w:t>
      </w:r>
    </w:p>
    <w:p>
      <w:pPr>
        <w:spacing w:after="120"/>
        <w:ind w:firstLine="709"/>
      </w:pPr>
      <w:r>
        <w:rPr>
          <w:sz w:val="24"/>
        </w:rPr>
        <w:t xml:space="preserve">3. Апелляционную жалобу вправе подать также лица, которые не были привлечены к участию в деле и вопрос о правах и об обязанностях которых был разрешен судом. Прокурор вправе принести апелляционное представление в защиту прав лиц, указанных в части первой статьи 45 настоящего Кодекса, не привлеченных к участию в деле, если судом был разрешен вопрос об их правах и обязанностях.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320</dc:title>
  <dc:creator>АРБИТРАЖ! · arbi.ru</dc:creator>
  <cp:lastModifiedBy>АРБИТРАЖ!</cp:lastModifiedBy>
  <dcterms:created xsi:type="dcterms:W3CDTF">2026-10-22T20:07:08.144Z</dcterms:created>
</cp:coreProperties>
</file>