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Апелляционные жалобы, представления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районным судом - на решения мировых судей;</w:t>
      </w:r>
    </w:p>
    <w:p>
      <w:pPr>
        <w:spacing w:after="120"/>
        <w:ind w:firstLine="709"/>
      </w:pPr>
      <w:r>
        <w:rPr>
          <w:sz w:val="24"/>
        </w:rPr>
        <w:t xml:space="preserve">2)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 - на решения районных судов, решения гарнизонных военных судов;</w:t>
      </w:r>
    </w:p>
    <w:p>
      <w:pPr>
        <w:spacing w:after="120"/>
        <w:ind w:firstLine="709"/>
      </w:pPr>
      <w:r>
        <w:rPr>
          <w:sz w:val="24"/>
        </w:rPr>
        <w:t xml:space="preserve">3) апелляционным судом общей юрисдикции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4) апелляционным военным судом - на решения окружных (флотских) военных судов,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5) Апелляционной коллегией Верховного Суда Российской Федерации - на решения Верховного Суда Российской Федерации, принятые по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320.1</dc:title>
  <dc:creator>АРБИТРАЖ! · arbi.ru</dc:creator>
  <cp:lastModifiedBy>АРБИТРАЖ!</cp:lastModifiedBy>
  <dcterms:created xsi:type="dcterms:W3CDTF">2026-10-22T19:05:59.882Z</dcterms:created>
</cp:coreProperties>
</file>