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01.04.2025 N 49-ФЗ)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представление, поданные с соблюдением требований статей 321 и 322 настоящего Кодекса, принимаются к производству суда апелляционной инстанции. В случае нарушения указанных требований судья суда апелляционной инстанции или оставляет апелляционные жалобу, представление без движения, или возвращает их в порядке, предусмотренном статьями 323 и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Вопрос о принятии апелляционных жалобы, представления к производству суда апелляционной инстанции решается судьей единолично в пятидневный срок со дня их поступления с делом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О принятии апелляционных жалобы, представления к производству суда апелляционной инстанции судья выносит определение, которым возбуждается производство по апелляционным жалобе, представлению.</w:t>
      </w:r>
    </w:p>
    <w:p>
      <w:pPr>
        <w:spacing w:after="120"/>
        <w:ind w:firstLine="709"/>
      </w:pPr>
      <w:r>
        <w:rPr>
          <w:sz w:val="24"/>
        </w:rPr>
        <w:t xml:space="preserve">В определении о принятии апелляционных жалобы, представления к производству суда указываются время и место проведения судебного заседания по рассмотрению апелляционных жалобы, представления, за исключением определений по делам, которые рассматриваются без проведения судебного заседания 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о принятии апелляционных жалобы, представления к производству суда направляются лицам, участвующим в деле,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по истечении срока обжалования вправе представить в суд апелляционной инстанции возражения в письменной форме относительно апелляционных жалобы, представления с приложением документов, подтверждающих эти возражения и направление или вручение их копий другим лицам, участвующим в деле, и вправе ознакомиться с материалами дела, с поступившими апелляционными жалобой, представлением и возражениями относительно них.</w:t>
      </w:r>
    </w:p>
    <w:p>
      <w:pPr>
        <w:spacing w:after="120"/>
        <w:ind w:firstLine="709"/>
      </w:pPr>
      <w:r>
        <w:rPr>
          <w:sz w:val="24"/>
        </w:rPr>
        <w:t xml:space="preserve">Возражения и прилагаемые к ним документы представляются в суд на бумажном носителе или в электронном виде, в том числе в форме электронного документа, в срок, обеспечивающий возможность ознакомления с ними до начала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322.1</dc:title>
  <dc:creator>АРБИТРАЖ! · arbi.ru</dc:creator>
  <cp:lastModifiedBy>АРБИТРАЖ!</cp:lastModifiedBy>
  <dcterms:created xsi:type="dcterms:W3CDTF">2026-10-22T20:12:42.245Z</dcterms:created>
</cp:coreProperties>
</file>