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Определения суда первой инстанции могут быть обжалованы в суд апелляционной инстанции отдельно от решения суда сторонами и другими лицами, участвующими в деле (частная жалоба), а прокурором может быть принесено представление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это предусмотрено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2) определение суда исключает возможность дальнейшего движения дела.</w:t>
      </w:r>
    </w:p>
    <w:p>
      <w:pPr>
        <w:spacing w:after="120"/>
        <w:ind w:firstLine="709"/>
      </w:pPr>
      <w:r>
        <w:rPr>
          <w:sz w:val="24"/>
        </w:rPr>
        <w:t xml:space="preserve">2. Частная жалоба, представление прокурора рассматриваются:</w:t>
      </w:r>
    </w:p>
    <w:p>
      <w:pPr>
        <w:spacing w:after="120"/>
        <w:ind w:firstLine="709"/>
      </w:pPr>
      <w:r>
        <w:rPr>
          <w:sz w:val="24"/>
        </w:rPr>
        <w:t xml:space="preserve">1) на определения мирового судьи - районным судом;</w:t>
      </w:r>
    </w:p>
    <w:p>
      <w:pPr>
        <w:spacing w:after="120"/>
        <w:ind w:firstLine="709"/>
      </w:pPr>
      <w:r>
        <w:rPr>
          <w:sz w:val="24"/>
        </w:rPr>
        <w:t xml:space="preserve">2) на определения районного суда, гарнизонного военного суда - верховным судом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судом;</w:t>
      </w:r>
    </w:p>
    <w:p>
      <w:pPr>
        <w:spacing w:after="120"/>
        <w:ind w:firstLine="709"/>
      </w:pPr>
      <w:r>
        <w:rPr>
          <w:sz w:val="24"/>
        </w:rPr>
        <w:t xml:space="preserve">3) на определения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 - апелляционным судом общей юрисдикции;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 определения Верховного Суда Российской Федерации - Апелляционной коллегией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На остальные определения суда первой инстанции частные жалобы, представления прокурора не подаются, но возражения относительно них могут быть включены в апелляционные жалобу, представление.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331</dc:title>
  <dc:creator>АРБИТРАЖ! · arbi.ru</dc:creator>
  <cp:lastModifiedBy>АРБИТРАЖ!</cp:lastModifiedBy>
  <dcterms:created xsi:type="dcterms:W3CDTF">2026-10-22T22:46:42.653Z</dcterms:created>
</cp:coreProperties>
</file>