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ГПК РФ, ст. 332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процессуальный кодекс Российской Федерации № 138-ФЗ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https://www.consultant.ru/document/cons_doc_LAW_39570/</w:t>
      </w:r>
    </w:p>
    <w:p>
      <w:pPr>
        <w:spacing w:after="120"/>
        <w:ind w:firstLine="709"/>
      </w:pPr>
      <w:r>
        <w:rPr>
          <w:sz w:val="24"/>
        </w:rPr>
        <w:t xml:space="preserve">Раздел: Глава 39. Производство в суде апелляционной инстанции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09.12.2010 N 353-ФЗ)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Частная жалоба, представление прокурора могут быть поданы в течение пятнадцати дней со дня вынесения определения судом первой инстанции, если иные сроки не установлены настоящим Кодексом.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28.12.2013 N 436-ФЗ)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ГПК РФ, ст. 332</dc:title>
  <dc:creator>АРБИТРАЖ! · arbi.ru</dc:creator>
  <cp:lastModifiedBy>АРБИТРАЖ!</cp:lastModifiedBy>
  <dcterms:created xsi:type="dcterms:W3CDTF">2026-10-23T01:17:05.441Z</dcterms:created>
</cp:coreProperties>
</file>