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подаются в президиум верховного суда республики, краевого, областного суда, суда города федерального значения, суда автономной области, суда автономного округа через суд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2. Суд первой инстанции обязан направить кассационные жалобу, представление вместе с делом в президиум верховного суда республики, краевого, областного суда, суда города федерального значения, суда автономной области, суда автономного округа в трехдневный срок со дня поступления кассационных жалобы, представления в суд.</w:t>
      </w:r>
    </w:p>
    <w:p>
      <w:pPr>
        <w:spacing w:after="120"/>
        <w:ind w:firstLine="709"/>
      </w:pPr>
      <w:r>
        <w:rPr>
          <w:sz w:val="24"/>
        </w:rPr>
        <w:t xml:space="preserve">3. Кассационные жалоба, представление, поступившие непосредственно в верховный суд республики, краевой, областной суд, суд города федерального значения, суд автономной области, суд автономного округа, подлежат направлению в суд, вынесший обжалуемое судебное постановление, для совершения действий, предусмотренных частью второй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375.3</dc:title>
  <dc:creator>АРБИТРАЖ! · arbi.ru</dc:creator>
  <cp:lastModifiedBy>АРБИТРАЖ!</cp:lastModifiedBy>
  <dcterms:created xsi:type="dcterms:W3CDTF">2026-10-23T00:42:58.737Z</dcterms:created>
</cp:coreProperties>
</file>