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</w:t>
      </w:r>
    </w:p>
    <w:p>
      <w:pPr>
        <w:spacing w:after="120"/>
        <w:ind w:firstLine="709"/>
      </w:pPr>
      <w:r>
        <w:rPr>
          <w:sz w:val="24"/>
        </w:rPr>
        <w:t xml:space="preserve">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</w:t>
      </w:r>
    </w:p>
    <w:p>
      <w:pPr>
        <w:spacing w:after="120"/>
        <w:ind w:firstLine="709"/>
      </w:pPr>
      <w:r>
        <w:rPr>
          <w:sz w:val="24"/>
        </w:rPr>
        <w:t xml:space="preserve">2. Право на обращение в кассационный суд общей юрисдикции с представлением о пересмотре вступивших в законную силу судебных постановлений, если в рассмотрении дела участвовал прокурор, имеют должностные лица органов прокуратуры, указанные в части третьей статьи 377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376</dc:title>
  <dc:creator>АРБИТРАЖ! · arbi.ru</dc:creator>
  <cp:lastModifiedBy>АРБИТРАЖ!</cp:lastModifiedBy>
  <dcterms:created xsi:type="dcterms:W3CDTF">2026-10-23T01:35:20.457Z</dcterms:created>
</cp:coreProperties>
</file>