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Кассационный суд общей юрисдикции рассматривает кассационные жалобу, представление в срок, не превышающий двух месяцев со дня поступления кассационных жалобы, представления с делом в суд кассационной инстанции. В случае, если кассационная жалоба поступила в суд кассационной инстанции до окончания срока ее подачи, срок рассмотрения кассационной жалобы исчисляется со дня истечения срока подачи кассационной жалобы.</w:t>
      </w:r>
    </w:p>
    <w:p>
      <w:pPr>
        <w:spacing w:after="120"/>
        <w:ind w:firstLine="709"/>
      </w:pPr>
      <w:r>
        <w:rPr>
          <w:sz w:val="24"/>
        </w:rPr>
        <w:t xml:space="preserve">2. Срок, установленный частью первой настоящей статьи, может быть продлен на основании мотивированного заявления судьи, рассматривающего дело, председателем суда до четырех месяцев в связи с особой сложностью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379.4</dc:title>
  <dc:creator>АРБИТРАЖ! · arbi.ru</dc:creator>
  <cp:lastModifiedBy>АРБИТРАЖ!</cp:lastModifiedBy>
  <dcterms:created xsi:type="dcterms:W3CDTF">2026-10-22T23:27:57.993Z</dcterms:created>
</cp:coreProperties>
</file>