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379.6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40.1. Производство в Президиуме Верховного суда республики, краевого, областного суда, суда города федерального значения, суда автономной области, суда автономного округа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28.11.2018 N 451-ФЗ)</w:t>
      </w:r>
    </w:p>
    <w:p>
      <w:pPr>
        <w:spacing w:after="120"/>
        <w:ind w:firstLine="709"/>
      </w:pPr>
      <w:r>
        <w:rPr>
          <w:sz w:val="24"/>
        </w:rPr>
        <w:t xml:space="preserve">1. Кассационный суд общей юрисдикции проверяет законность судебных постановлений, принятых судами первой и апелляционной инстанций,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постановления, в пределах доводов, содержащихся в кассационных жалобе, представлении, если иное не предусмотрено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2. В интересах законности кассационный суд общей юрисдикции вправе выйти за пределы доводов кассационных жалобы, представления. При этом суд не вправе проверять законность судебных постановлений в той части, в которой они не обжалуются, а также законность судебных постановлений, которые не обжалуются.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379.6</dc:title>
  <dc:creator>АРБИТРАЖ! · arbi.ru</dc:creator>
  <cp:lastModifiedBy>АРБИТРАЖ!</cp:lastModifiedBy>
  <dcterms:created xsi:type="dcterms:W3CDTF">2026-10-22T17:21:12.443Z</dcterms:created>
</cp:coreProperties>
</file>