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Вступившие в законную силу судебные постановления, указанные в части второй статьи 390.4 настоящего Кодекса, могут быть обжалованы в порядке, установленном настоящим параграфом, в судебную коллегию Верховного Суда Российской Федерации лицами, участвующими в деле, и другими лицами, если их права и законные интересы нарушены судебными постановлениями.</w:t>
      </w:r>
    </w:p>
    <w:p>
      <w:pPr>
        <w:spacing w:after="120"/>
        <w:ind w:firstLine="709"/>
      </w:pPr>
      <w:r>
        <w:rPr>
          <w:sz w:val="24"/>
        </w:rPr>
        <w:t xml:space="preserve">Кассационные жалоба, представление могут быть поданы в судебную коллегию Верховного Суда Российской Федерации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2. В судебную коллегию Верховного Суда Российской Федерации с представлениями о пересмотре вступивших в законную силу судебных постановлений, если в рассмотрении дела участвовал прокурор, вправе обращаться Генеральный прокурор Российской Федерации и его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390.2</dc:title>
  <dc:creator>АРБИТРАЖ! · arbi.ru</dc:creator>
  <cp:lastModifiedBy>АРБИТРАЖ!</cp:lastModifiedBy>
  <dcterms:created xsi:type="dcterms:W3CDTF">2026-10-22T14:06:52.975Z</dcterms:created>
</cp:coreProperties>
</file>