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Определение судьи о передаче кассационных жалобы, представления с делом для рассмотрения в судебном заседании суда кассационной инстанции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 кассационной инстанции, в который передается дело для рассмотрения по существу;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изложение содержания дела, по которому приняты судебные постановления;</w:t>
      </w:r>
    </w:p>
    <w:p>
      <w:pPr>
        <w:spacing w:after="120"/>
        <w:ind w:firstLine="709"/>
      </w:pPr>
      <w:r>
        <w:rPr>
          <w:sz w:val="24"/>
        </w:rPr>
        <w:t xml:space="preserve">7) мотивированное изложение оснований для передачи кассационных жалобы, представления с делом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2. Судья вместе с вынесенным им определением направляет кассационные жалобу, представление и дело в суд кассационной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390.10</dc:title>
  <dc:creator>АРБИТРАЖ! · arbi.ru</dc:creator>
  <cp:lastModifiedBy>АРБИТРАЖ!</cp:lastModifiedBy>
  <dcterms:created xsi:type="dcterms:W3CDTF">2026-10-22T20:04:55.166Z</dcterms:created>
</cp:coreProperties>
</file>