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Судебная коллегия Верховного Суда Российской Федерации проверяет законность судебных постановлений, принятых судами первой, апелляционной и кассационной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акта, в пределах доводов, содержащихся в кассационных жалобе, представлении.</w:t>
      </w:r>
    </w:p>
    <w:p>
      <w:pPr>
        <w:spacing w:after="120"/>
        <w:ind w:firstLine="709"/>
      </w:pPr>
      <w:r>
        <w:rPr>
          <w:sz w:val="24"/>
        </w:rPr>
        <w:t xml:space="preserve">2. В интересах законности судебная коллегия Верховного Суда Российской Федерации вправе выйти за пределы доводов кассационных жалобы, представления. При этом суд не вправе проверять законность судебных постановлений в той части, в которой они не обжалуются, а также законность судебных постановлений, которые не обжалуются.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390.13</dc:title>
  <dc:creator>АРБИТРАЖ! · arbi.ru</dc:creator>
  <cp:lastModifiedBy>АРБИТРАЖ!</cp:lastModifiedBy>
  <dcterms:created xsi:type="dcterms:W3CDTF">2026-10-22T13:57:43.711Z</dcterms:created>
</cp:coreProperties>
</file>