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 (ред. 26.07.2019))</w:t>
      </w:r>
    </w:p>
    <w:p>
      <w:pPr>
        <w:spacing w:after="120"/>
        <w:ind w:firstLine="709"/>
      </w:pPr>
      <w:r>
        <w:rPr>
          <w:sz w:val="24"/>
        </w:rPr>
        <w:t xml:space="preserve">1. В определении судебной коллегии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вынесено определение;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кассационные жалобу, представление о пересмотре дела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кассационных жалобы, представления с делом для рассмотрения в судебном заседании суда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6) фамилии лиц, присутствовавших в судебном заседании, с указанием их полномочий;</w:t>
      </w:r>
    </w:p>
    <w:p>
      <w:pPr>
        <w:spacing w:after="120"/>
        <w:ind w:firstLine="709"/>
      </w:pPr>
      <w:r>
        <w:rPr>
          <w:sz w:val="24"/>
        </w:rPr>
        <w:t xml:space="preserve">7) содержание обжалуемых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8) выводы суда по результатам рассмотрения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9) мотивы, по которым суд пришел к своим выводам, и ссылка на законы, которыми суд руководствовался.</w:t>
      </w:r>
    </w:p>
    <w:p>
      <w:pPr>
        <w:spacing w:after="120"/>
        <w:ind w:firstLine="709"/>
      </w:pPr>
      <w:r>
        <w:rPr>
          <w:sz w:val="24"/>
        </w:rPr>
        <w:t xml:space="preserve">2. При оставлении кассационных жалобы, представления без удовлетворения суд обязан указать мотивы, по которым доводы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судебной коллегии Верховного Суда Российской Федерации, вынесенного по результатам рассмотрения кассационных жалобы, представления, направляются лицам, участвующим в деле, в пятидневный срок со дня вынесения определения в окончательной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390.16</dc:title>
  <dc:creator>АРБИТРАЖ! · arbi.ru</dc:creator>
  <cp:lastModifiedBy>АРБИТРАЖ!</cp:lastModifiedBy>
  <dcterms:created xsi:type="dcterms:W3CDTF">2026-10-22T20:04:44.627Z</dcterms:created>
</cp:coreProperties>
</file>