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 (ред. 26.07.2019))</w:t>
      </w:r>
    </w:p>
    <w:p>
      <w:pPr>
        <w:spacing w:after="120"/>
        <w:ind w:firstLine="709"/>
      </w:pPr>
      <w:r>
        <w:rPr>
          <w:sz w:val="24"/>
        </w:rPr>
        <w:t xml:space="preserve">1. В определении судебной коллегии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присвоенный судом первой инстанции,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3) дело, по которому вынесено определение;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кассационные жалобу, представление о пересмотре дела в кассационном порядке;</w:t>
      </w:r>
    </w:p>
    <w:p>
      <w:pPr>
        <w:spacing w:after="120"/>
        <w:ind w:firstLine="709"/>
      </w:pPr>
      <w:r>
        <w:rPr>
          <w:sz w:val="24"/>
        </w:rPr>
        <w:t xml:space="preserve">5) фамилия и инициалы судьи, вынесшего определение о передаче кассационных жалобы, представления с делом для рассмотрения в судебном заседании суда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6) фамилии лиц, присутствовавших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7) содержание обжалуемых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8) выводы суда по результатам рассмотрения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9) мотивы, по которым суд пришел к своим выводам, и ссылка на законы, которыми суд руководствовался.</w:t>
      </w:r>
    </w:p>
    <w:p>
      <w:pPr>
        <w:spacing w:after="120"/>
        <w:ind w:firstLine="709"/>
      </w:pPr>
      <w:r>
        <w:rPr>
          <w:sz w:val="24"/>
        </w:rPr>
        <w:t xml:space="preserve">2. При оставлении кассационных жалобы, представления без удовлетворения суд обязан указать мотивы, по которым доводы жалобы, представления отклоняются.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судебной коллегии Верховного Суда Российской Федерации, вынесенного по результатам рассмотрения кассационных жалобы, представления, направляются лицам, участвующим в деле, в пятидневный срок со дня вынесения определения в окончательной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390.16</dc:title>
  <dc:creator>АРБИТРАЖ! · arbi.ru</dc:creator>
  <cp:lastModifiedBy>АРБИТРАЖ!</cp:lastModifiedBy>
  <dcterms:created xsi:type="dcterms:W3CDTF">2026-10-22T18:02:40.064Z</dcterms:created>
</cp:coreProperties>
</file>