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Судебные постановления, указанные в части второй статьи 391.1 настоящего Кодекса, подлежат отмене или изменению, если при рассмотрении дела в порядке надзора Президиум Верховного Суда Российской Федерации установит, что соответствующее обжалуемое судебное постановление нарушает:</w:t>
      </w:r>
    </w:p>
    <w:p>
      <w:pPr>
        <w:spacing w:after="120"/>
        <w:ind w:firstLine="709"/>
      </w:pPr>
      <w:r>
        <w:rPr>
          <w:sz w:val="24"/>
        </w:rPr>
        <w:t xml:space="preserve">1) права и свободы человека и гражданина, гарантированные Конституцией Российской Федерации, общепризнанными принципами и нормами международного права, международными договорами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права и законные интересы неопределенного круга лиц или иные публичные интересы;</w:t>
      </w:r>
    </w:p>
    <w:p>
      <w:pPr>
        <w:spacing w:after="120"/>
        <w:ind w:firstLine="709"/>
      </w:pPr>
      <w:r>
        <w:rPr>
          <w:sz w:val="24"/>
        </w:rPr>
        <w:t xml:space="preserve">3) единообразие в толковании и применении судами норм права.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391.9</dc:title>
  <dc:creator>АРБИТРАЖ! · arbi.ru</dc:creator>
  <cp:lastModifiedBy>АРБИТРАЖ!</cp:lastModifiedBy>
  <dcterms:created xsi:type="dcterms:W3CDTF">2026-10-22T19:04:51.921Z</dcterms:created>
</cp:coreProperties>
</file>