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о передаче надзорных жалобы, представления с делом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изложение содержания дела, по которому приняты судебные постановления;</w:t>
      </w:r>
    </w:p>
    <w:p>
      <w:pPr>
        <w:spacing w:after="120"/>
        <w:ind w:firstLine="709"/>
      </w:pPr>
      <w:r>
        <w:rPr>
          <w:sz w:val="24"/>
        </w:rPr>
        <w:t xml:space="preserve">6) мотивированное изложение оснований для передачи надзорных жалобы, представления с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предложения судьи, вынесшего определение.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вместе с вынесенным им определением передает надзорные жалобу, представление и дело в Президиум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391.8</dc:title>
  <dc:creator>АРБИТРАЖ! · arbi.ru</dc:creator>
  <cp:lastModifiedBy>АРБИТРАЖ!</cp:lastModifiedBy>
  <dcterms:created xsi:type="dcterms:W3CDTF">2026-10-22T19:04:00.566Z</dcterms:created>
</cp:coreProperties>
</file>