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или норм процессуального права,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</w:t>
      </w:r>
    </w:p>
    <w:p>
      <w:pPr>
        <w:spacing w:after="120"/>
        <w:ind w:firstLine="709"/>
      </w:pPr>
      <w:r>
        <w:rPr>
          <w:sz w:val="24"/>
        </w:rPr>
        <w:t xml:space="preserve">2. Жалоба или представление прокурора, указанные в части первой настоящей статьи, могут быть поданы в течение шести месяцев со дня вступления обжалуемых судебных постановлений в законную силу.</w:t>
      </w:r>
    </w:p>
    <w:p>
      <w:pPr>
        <w:spacing w:after="120"/>
        <w:ind w:firstLine="709"/>
      </w:pPr>
      <w:r>
        <w:rPr>
          <w:sz w:val="24"/>
        </w:rPr>
        <w:t xml:space="preserve">2.1. Пропущенный срок подачи жалобы или представления прокурора, указанных в части первой настоящей статьи, может быть восстановлен в порядке, предусмотренном частями третьей и четвертой статьи 391.2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29.07.2017 N 260-ФЗ)</w:t>
      </w:r>
    </w:p>
    <w:p>
      <w:pPr>
        <w:spacing w:after="120"/>
        <w:ind w:firstLine="709"/>
      </w:pPr>
      <w:r>
        <w:rPr>
          <w:sz w:val="24"/>
        </w:rPr>
        <w:t xml:space="preserve">3.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порядке, предусмотренном статьей 391.10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 или заместитель Председателя Верховного Суда Российской Федерации, внесший представление, не может участвовать в рассмотрении Президиумом Верховного Суда Российской Федерации дела, о пересмотре которого им внесено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391.11</dc:title>
  <dc:creator>АРБИТРАЖ! · arbi.ru</dc:creator>
  <cp:lastModifiedBy>АРБИТРАЖ!</cp:lastModifiedBy>
  <dcterms:created xsi:type="dcterms:W3CDTF">2026-10-22T06:40:59.067Z</dcterms:created>
</cp:coreProperties>
</file>