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постановлении Президиума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состав суда, принявшего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2) номер дела, присвоенный судом первой инстанции, дата и место принятия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дело, по которому принято постановление;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5) фамилия и инициалы судьи, вынесшего определение о передаче надзорных жалобы, представления с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содержание обжалуемых судебных постановлений;</w:t>
      </w:r>
    </w:p>
    <w:p>
      <w:pPr>
        <w:spacing w:after="120"/>
        <w:ind w:firstLine="709"/>
      </w:pPr>
      <w:r>
        <w:rPr>
          <w:sz w:val="24"/>
        </w:rPr>
        <w:t xml:space="preserve">7) выводы Президиума Верховного Суда Российской Федерации по результатам рассмотрения надзорных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8) мотивы, по которым Президиум Верховного Суда Российской Федерации пришел к своим выводам, и ссылка на законы, которыми он руководствовался.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391.13</dc:title>
  <dc:creator>АРБИТРАЖ! · arbi.ru</dc:creator>
  <cp:lastModifiedBy>АРБИТРАЖ!</cp:lastModifiedBy>
  <dcterms:created xsi:type="dcterms:W3CDTF">2026-10-22T20:14:03.700Z</dcterms:created>
</cp:coreProperties>
</file>