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Иностранные граждане, лица без гражданства, иностранные организации, международные организации (далее также в настоящем разделе - иностранные лица) имеют право обращаться в суды в Российской Федерации для защиты своих нарушенных или оспариваемых прав, свобод и законных интересов.</w:t>
      </w:r>
    </w:p>
    <w:p>
      <w:pPr>
        <w:spacing w:after="120"/>
        <w:ind w:firstLine="709"/>
      </w:pPr>
      <w:r>
        <w:rPr>
          <w:sz w:val="24"/>
        </w:rPr>
        <w:t xml:space="preserve">2. Иностранные лица пользуются процессуальными правами и выполняют процессуальные обязанности наравне с российскими гражданами и организациями.</w:t>
      </w:r>
    </w:p>
    <w:p>
      <w:pPr>
        <w:spacing w:after="120"/>
        <w:ind w:firstLine="709"/>
      </w:pPr>
      <w:r>
        <w:rPr>
          <w:sz w:val="24"/>
        </w:rPr>
        <w:t xml:space="preserve">3. Производство по делам с участием иностранных лиц осуществляется в соответствии с настоящим Кодексом 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4. Правительством Российской Федерации могут быть установлены ответные ограничения в отношении иностранных лиц тех государств, в судах которых допускаются такие же ограничения процессуальных прав российских граждан и организаций.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398</dc:title>
  <dc:creator>АРБИТРАЖ! · arbi.ru</dc:creator>
  <cp:lastModifiedBy>АРБИТРАЖ!</cp:lastModifiedBy>
  <dcterms:created xsi:type="dcterms:W3CDTF">2026-10-22T14:06:45.407Z</dcterms:created>
</cp:coreProperties>
</file>