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Личным законом иностранной организации считается право страны, в которой организация учреждена. На основе личного закона иностранной организации определяется ее процессуальная правоспособность.</w:t>
      </w:r>
    </w:p>
    <w:p>
      <w:pPr>
        <w:spacing w:after="120"/>
        <w:ind w:firstLine="709"/>
      </w:pPr>
      <w:r>
        <w:rPr>
          <w:sz w:val="24"/>
        </w:rPr>
        <w:t xml:space="preserve">2. Иностранная организация, не обладающая в соответствии с личным законом процессуальной правоспособностью, может быть на территории Российской Федерации признана правоспособной в соответствии с российским правом.</w:t>
      </w:r>
    </w:p>
    <w:p>
      <w:pPr>
        <w:spacing w:after="120"/>
        <w:ind w:firstLine="709"/>
      </w:pPr>
      <w:r>
        <w:rPr>
          <w:sz w:val="24"/>
        </w:rPr>
        <w:t xml:space="preserve">3. Процессуальная правоспособность международной организации устанавливается на основе международного договора, в соответствии с которым она создана, ее учредительных документов или соглашения с компетентным органом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400</dc:title>
  <dc:creator>АРБИТРАЖ! · arbi.ru</dc:creator>
  <cp:lastModifiedBy>АРБИТРАЖ!</cp:lastModifiedBy>
  <dcterms:created xsi:type="dcterms:W3CDTF">2026-10-22T18:06:00.251Z</dcterms:created>
</cp:coreProperties>
</file>