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иное не установлено правилами настоящей главы, подсудность дел с участием иностранных лиц судам в Российской Федерации определяется по правилам главы 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Суды в Российской Федерации рассматривают дела с участием иностранных лиц, если организация-ответчик находится на территории Российской Федерации или гражданин-ответчик имеет место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Суды в Российской Федерации вправе также рассматривать дела с участием иностранных лиц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орган управления, филиал или представительство иностранного лица находится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ответчик имеет имущество, находящееся на территории Российской Федерации, и (или) распространяет рекламу в информационно-телекоммуникационной сети "Интернет", направленную на привлечение внимания потребителей, находящихся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 делу о взыскании алиментов и об установлении отцовства истец имеет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по делу о возмещении вреда, причиненного увечьем, иным повреждением здоровья или смертью кормильца, вред причинен на территории Российской Федерации или истец имеет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по делу о возмещении вреда, причиненного имуществу, действие или иное обстоятельство, послужившие основанием для предъявления требования о возмещении вреда, имело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иск вытекает из договора, по которому полное или частичное исполнение должно иметь место или имело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иск вытекает из неосновательного обогащения, имевшего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по делу о расторжении брака истец имеет место жительства в Российской Федерации или хотя бы один из супругов является российским гражданином;</w:t>
      </w:r>
    </w:p>
    <w:p>
      <w:pPr>
        <w:spacing w:after="120"/>
        <w:ind w:firstLine="709"/>
      </w:pPr>
      <w:r>
        <w:rPr>
          <w:sz w:val="24"/>
        </w:rPr>
        <w:t xml:space="preserve">9) по делу о защите чести, достоинства и деловой репутации истец имеет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10) по делу о защите прав субъекта персональных данных, в том числе о возмещении убытков и (или) компенсации морального вреда , истец имеет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07.05.2013 N 99-ФЗ)</w:t>
      </w:r>
    </w:p>
    <w:p>
      <w:pPr>
        <w:spacing w:after="120"/>
        <w:ind w:firstLine="709"/>
      </w:pPr>
      <w:r>
        <w:rPr>
          <w:sz w:val="24"/>
        </w:rPr>
        <w:t xml:space="preserve">11) по делу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истец имеет место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13.07.2015 N 264-ФЗ)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402</dc:title>
  <dc:creator>АРБИТРАЖ! · arbi.ru</dc:creator>
  <cp:lastModifiedBy>АРБИТРАЖ!</cp:lastModifiedBy>
  <dcterms:created xsi:type="dcterms:W3CDTF">2026-10-22T19:06:03.900Z</dcterms:created>
</cp:coreProperties>
</file>