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44. Подсудность дел с участием иностранных лиц судам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делу с участием иностранного лица стороны вправе договориться об изменении подсудности дела (пророгационное соглашение) до принятия его судом к своему производству.</w:t>
      </w:r>
    </w:p>
    <w:p>
      <w:pPr>
        <w:spacing w:after="120"/>
        <w:ind w:firstLine="709"/>
      </w:pPr>
      <w:r>
        <w:rPr>
          <w:sz w:val="24"/>
        </w:rPr>
        <w:t xml:space="preserve">2. Подсудность дел с участием иностранных лиц, установленная статьями 26 , 27 , 30 и 403 настоящего Кодекса, не может быть изменена по соглашению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404</dc:title>
  <dc:creator>АРБИТРАЖ! · arbi.ru</dc:creator>
  <cp:lastModifiedBy>АРБИТРАЖ!</cp:lastModifiedBy>
  <dcterms:created xsi:type="dcterms:W3CDTF">2026-10-22T19:05:23.029Z</dcterms:created>
</cp:coreProperties>
</file>