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406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44. Подсудность дел с участием иностранных лиц судам в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 в Российской Федерации отказывает в принятии искового заявления к производству или прекращает производство по делу, если имеется решение суда по спору между теми же сторонами, о том же предмете и по тем же основаниям, принятое иностранным судом, с которым имеется международный договор Российской Федерации, предусматривающий взаимное признание и исполнение решений суда.</w:t>
      </w:r>
    </w:p>
    <w:p>
      <w:pPr>
        <w:spacing w:after="120"/>
        <w:ind w:firstLine="709"/>
      </w:pPr>
      <w:r>
        <w:rPr>
          <w:sz w:val="24"/>
        </w:rPr>
        <w:t xml:space="preserve">2. Суд в Российской Федерации возвращает исковое заявление или оставляет заявление без рассмотрения, если в иностранном суде, решение которого подлежит признанию или исполнению на территории Российской Федерации, ранее было возбуждено дело по спору между теми же сторонами, о том же предмете и по тем же основаниям.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406</dc:title>
  <dc:creator>АРБИТРАЖ! · arbi.ru</dc:creator>
  <cp:lastModifiedBy>АРБИТРАЖ!</cp:lastModifiedBy>
  <dcterms:created xsi:type="dcterms:W3CDTF">2026-10-22T23:03:07.946Z</dcterms:created>
</cp:coreProperties>
</file>