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44. Подсудность дел с участием иностранных лиц судам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Суды в Российской Федерации исполняют переданные им в порядке, установленном международным договором Российской Федерации или федеральным законом, поручения иностранных судов о совершении отдельных процессуальных действий (вручение извещений и других документов, получение объяснений сторон, показаний свидетелей, заключений экспертов, осмотр на месте и другие).</w:t>
      </w:r>
    </w:p>
    <w:p>
      <w:pPr>
        <w:spacing w:after="120"/>
        <w:ind w:firstLine="709"/>
      </w:pPr>
      <w:r>
        <w:rPr>
          <w:sz w:val="24"/>
        </w:rPr>
        <w:t xml:space="preserve">2. Поручение иностранного суда о совершении отдельных процессуальных действий не подлежит исполнению, если:</w:t>
      </w:r>
    </w:p>
    <w:p>
      <w:pPr>
        <w:spacing w:after="120"/>
        <w:ind w:firstLine="709"/>
      </w:pPr>
      <w:r>
        <w:rPr>
          <w:sz w:val="24"/>
        </w:rPr>
        <w:t xml:space="preserve">1) исполнение поручения может нанести ущерб суверенитету Российской Федерации или угрожает безопасности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исполнение поручения не входит в компетенцию суда.</w:t>
      </w:r>
    </w:p>
    <w:p>
      <w:pPr>
        <w:spacing w:after="120"/>
        <w:ind w:firstLine="709"/>
      </w:pPr>
      <w:r>
        <w:rPr>
          <w:sz w:val="24"/>
        </w:rPr>
        <w:t xml:space="preserve">3. Исполнение поручений иностранных судов производится в порядке, установленном российским правом,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Суды в Российской Федерации могут обращаться в иностранные суды с поручениями о совершении отдельных процессуальных действий. Порядок сношений судов в Российской Федерации с иностранными судами определяется международным договором Российской Федерации или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407</dc:title>
  <dc:creator>АРБИТРАЖ! · arbi.ru</dc:creator>
  <cp:lastModifiedBy>АРБИТРАЖ!</cp:lastModifiedBy>
  <dcterms:created xsi:type="dcterms:W3CDTF">2026-10-22T20:37:43.699Z</dcterms:created>
</cp:coreProperties>
</file>