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иностранных судов, в том числе решения об утверждении мировых соглашений, признаются и исполняются в Российской Федерации, если это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Под решениями иностранных судов понимаются решения по гражданским делам, за исключением дел по экономическим спорам и других дел, связанных с осуществлением предпринимательской и иной экономической деятельности, приговоры по делам в части возмещения ущерба, причиненного преступлением.</w:t>
      </w:r>
    </w:p>
    <w:p>
      <w:pPr>
        <w:spacing w:after="120"/>
        <w:ind w:firstLine="709"/>
      </w:pPr>
      <w:r>
        <w:rPr>
          <w:sz w:val="24"/>
        </w:rPr>
        <w:t xml:space="preserve">3. Решение иностранного суда может быть предъявлено к принудительному исполнению в течение трех лет со дня вступления в законную силу решения иностранного суда. Пропущенный по уважительной причине срок может быть восстановлен судом в Российской Федерации в порядке, предусмотренном статьей 112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409</dc:title>
  <dc:creator>АРБИТРАЖ! · arbi.ru</dc:creator>
  <cp:lastModifiedBy>АРБИТРАЖ!</cp:lastModifiedBy>
  <dcterms:created xsi:type="dcterms:W3CDTF">2026-10-22T16:43:47.637Z</dcterms:created>
</cp:coreProperties>
</file>