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Правила статей 411 - 413 настоящего Кодекса, за исключением части второй статьи 411 , пунктов 1 - 4 и 6 части первой статьи 412 настоящего Кодекса, применяются также к решениям иностранных третейских судов (арбитражей).</w:t>
      </w:r>
    </w:p>
    <w:p>
      <w:pPr>
        <w:spacing w:after="120"/>
        <w:ind w:firstLine="709"/>
      </w:pPr>
      <w:r>
        <w:rPr>
          <w:sz w:val="24"/>
        </w:rPr>
        <w:t xml:space="preserve">2. Сторона, ходатайствующая о признании или об исполнении решения иностранного третейского суда (арбитража), должна представить подлинное решение иностранного третейского суда (арбитража) или его должным образом заверенную копию, а также подлинное арбитражное соглашение или его должным образом заверенную копию. В случае, если арбитражное решение или арбитражное соглашение изложено на иностранном языке, сторона должна представить заверенный перевод этих документов на русский язык.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416</dc:title>
  <dc:creator>АРБИТРАЖ! · arbi.ru</dc:creator>
  <cp:lastModifiedBy>АРБИТРАЖ!</cp:lastModifiedBy>
  <dcterms:created xsi:type="dcterms:W3CDTF">2026-10-22T07:50:46.404Z</dcterms:created>
</cp:coreProperties>
</file>