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Подсудность гражданских дел с участием иностранного государства определяется по правилам главы 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Гражданские дела с участием иностранного государства, за исключением дел, предусмотренных статьями 25 и 27 настоящего Кодекса, рассматриваются верховным судом республики, краевым, областным судом, судом города федерального значения, судом автономной области или судом автономного округа.</w:t>
      </w:r>
    </w:p>
    <w:p>
      <w:pPr>
        <w:spacing w:after="120"/>
        <w:ind w:firstLine="709"/>
      </w:pPr>
      <w:r>
        <w:rPr>
          <w:sz w:val="24"/>
        </w:rPr>
        <w:t xml:space="preserve">3. Иски к иностранному государству предъявляются в суд по месту жительства или месту нахождения истца.</w:t>
      </w:r>
    </w:p>
    <w:p>
      <w:pPr>
        <w:spacing w:after="120"/>
        <w:ind w:firstLine="709"/>
      </w:pPr>
      <w:r>
        <w:rPr>
          <w:sz w:val="24"/>
        </w:rPr>
        <w:t xml:space="preserve">4. Ходатайство о принудительном исполнении решений иностранных судов в отношении имущества иностранного государства, находящегося на территории Российской Федерации, рассматривается судом по месту нахождения этого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417.2</dc:title>
  <dc:creator>АРБИТРАЖ! · arbi.ru</dc:creator>
  <cp:lastModifiedBy>АРБИТРАЖ!</cp:lastModifiedBy>
  <dcterms:created xsi:type="dcterms:W3CDTF">2026-10-22T09:47:58.354Z</dcterms:created>
</cp:coreProperties>
</file>