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Исковое заявление по спору с иностранным государством и прилагаемые к нему документы должны соответствовать требованиям статей 131 и 132 настоящего Кодекса и подаются с копиями искового заявления и прилагаемых к нему документов в соответствии с количеством ответчиков и третьих лиц.</w:t>
      </w:r>
    </w:p>
    <w:p>
      <w:pPr>
        <w:spacing w:after="120"/>
        <w:ind w:firstLine="709"/>
      </w:pPr>
      <w:r>
        <w:rPr>
          <w:sz w:val="24"/>
        </w:rPr>
        <w:t xml:space="preserve">2. К исковому заявлению прилагается также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государства, привлекаемого к участию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417.4</dc:title>
  <dc:creator>АРБИТРАЖ! · arbi.ru</dc:creator>
  <cp:lastModifiedBy>АРБИТРАЖ!</cp:lastModifiedBy>
  <dcterms:created xsi:type="dcterms:W3CDTF">2026-10-22T20:05:14.138Z</dcterms:created>
</cp:coreProperties>
</file>