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Исковое заявление по спору с иностранным государством и прилагаемые к нему документы должны соответствовать требованиям статей 131 и 132 настоящего Кодекса и подаются с копиями искового заявления и прилагаемых к нему документов в соответствии с количеством ответчиков и третьих лиц.</w:t>
      </w:r>
    </w:p>
    <w:p>
      <w:pPr>
        <w:spacing w:after="120"/>
        <w:ind w:firstLine="709"/>
      </w:pPr>
      <w:r>
        <w:rPr>
          <w:sz w:val="24"/>
        </w:rPr>
        <w:t xml:space="preserve">2. К исковому заявлению прилагается также надлежащим образом заверенный перевод искового заявления и прилагаемых к нему документов на официальный язык или один из официальных языков иностранного государства, привлекаемого к участию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417.4</dc:title>
  <dc:creator>АРБИТРАЖ! · arbi.ru</dc:creator>
  <cp:lastModifiedBy>АРБИТРАЖ!</cp:lastModifiedBy>
  <dcterms:created xsi:type="dcterms:W3CDTF">2026-10-22T20:38:00.747Z</dcterms:created>
</cp:coreProperties>
</file>