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Исполнение судебного постановления, вынесенного в отношении иностранного государства, его имущества, находящегося на территории Российской Федерации, по результатам рассмотрения соответствующих иска или ходатайства о признании и исполнении судебного решения другого иностранного государства, осуществляется в соответствии с законодательством Российской Федерации об исполнительном производстве. Исполнительный лист с копией судебного постановления направляется главному судебному приставу Российской Федерации. Одновременно суд в порядке, установленном статьей 417.6 настоящего Кодекса, извещает иностранное государство о вступлении судебного постановления в законную силу и направлении исполнительных документов главному судебному приставу Российской Федерации для исполнения.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417.12</dc:title>
  <dc:creator>АРБИТРАЖ! · arbi.ru</dc:creator>
  <cp:lastModifiedBy>АРБИТРАЖ!</cp:lastModifiedBy>
  <dcterms:created xsi:type="dcterms:W3CDTF">2026-10-22T20:05:41.195Z</dcterms:created>
</cp:coreProperties>
</file>