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422.1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46. Производство по делам об оспаривании решений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1. В случаях, предусмотренных федеральным законом, любая сторона третейского разбирательства может обратиться в районный суд, на территории которого проводится третейское разбирательство, с заявлением об отмене постановления третейского суда предварительного характера о наличии у него компетенции.</w:t>
      </w:r>
    </w:p>
    <w:p>
      <w:pPr>
        <w:spacing w:after="120"/>
        <w:ind w:firstLine="709"/>
      </w:pPr>
      <w:r>
        <w:rPr>
          <w:sz w:val="24"/>
        </w:rPr>
        <w:t xml:space="preserve">2. Заявление об отмене постановления третейского суда предварительного характера может быть подано в течение одного месяца со дня получения стороной постановления третейского суда, указанного в части первой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Суд рассматривает заявление об отмене постановления третейского суда предварительного характера о наличии у него компетенции по правилам, предусмотренным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4. Если к моменту рассмотрения судом заявления об отмене постановления третейского суда предварительного характера о наличии у него компетенции будет вынесено решение третейского суда по соответствующему спору, указанное заявление подлежит оставлению без рассмотрения в связи с завершением третейского разбирательства. В этом случае сторона третейского разбирательства, подавшая указанное заявление, не лишена права ссылаться на обстоятельства, являющиеся основанием указанного заявления, при рассмотрении судом заявления об отмене или о выдаче исполнительного листа на принудительное исполнение решения третейского суда по соответствующему спору.</w:t>
      </w:r>
    </w:p>
    <w:p>
      <w:pPr>
        <w:spacing w:after="120"/>
        <w:ind w:firstLine="709"/>
      </w:pPr>
      <w:r>
        <w:rPr>
          <w:sz w:val="24"/>
        </w:rPr>
        <w:t xml:space="preserve">5. По результатам рассмотрения заявления об отмене постановления предварительного характера о наличии у него компетенции суд выносит определение об отмене данного постановления или об отказе в удовлетворении требования заявителя.</w:t>
      </w:r>
    </w:p>
    <w:p>
      <w:pPr>
        <w:spacing w:after="120"/>
        <w:ind w:firstLine="709"/>
      </w:pPr>
      <w:r>
        <w:rPr>
          <w:sz w:val="24"/>
        </w:rPr>
        <w:t xml:space="preserve">6. Определение суда, указанное в части пятой настоящей статьи, не может быть обжаловано.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422.1</dc:title>
  <dc:creator>АРБИТРАЖ! · arbi.ru</dc:creator>
  <cp:lastModifiedBy>АРБИТРАЖ!</cp:lastModifiedBy>
  <dcterms:created xsi:type="dcterms:W3CDTF">2026-10-22T14:06:11.076Z</dcterms:created>
</cp:coreProperties>
</file>