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Правила, установленные настоящей главой, применяются при выполнении судом функций содействия в отношении третейского разбирательства, если место арбитража находится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соответствии с настоящей главой суд выполняет следующие функции содействия в отношении третейских судов:</w:t>
      </w:r>
    </w:p>
    <w:p>
      <w:pPr>
        <w:spacing w:after="120"/>
        <w:ind w:firstLine="709"/>
      </w:pPr>
      <w:r>
        <w:rPr>
          <w:sz w:val="24"/>
        </w:rPr>
        <w:t xml:space="preserve">1) разрешение вопросов, связанных с отводом третейского судьи;</w:t>
      </w:r>
    </w:p>
    <w:p>
      <w:pPr>
        <w:spacing w:after="120"/>
        <w:ind w:firstLine="709"/>
      </w:pPr>
      <w:r>
        <w:rPr>
          <w:sz w:val="24"/>
        </w:rPr>
        <w:t xml:space="preserve">2) разрешение вопросов, связанных с назначением третейского судьи;</w:t>
      </w:r>
    </w:p>
    <w:p>
      <w:pPr>
        <w:spacing w:after="120"/>
        <w:ind w:firstLine="709"/>
      </w:pPr>
      <w:r>
        <w:rPr>
          <w:sz w:val="24"/>
        </w:rPr>
        <w:t xml:space="preserve">3) разрешение вопросов, связанных с прекращением полномочий третейского судьи.</w:t>
      </w:r>
    </w:p>
    <w:p>
      <w:pPr>
        <w:spacing w:after="120"/>
        <w:ind w:firstLine="709"/>
      </w:pPr>
      <w:r>
        <w:rPr>
          <w:sz w:val="24"/>
        </w:rPr>
        <w:t xml:space="preserve">3. Суд осуществляет функции содействия в отношении третейского суда, указанные в части второй настоящей статьи, только в случаях,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Суд осуществляет функции содействия в отношении третейского суда, указанные в части второй настоящей статьи, на основании заявления о выполнении судом функций содействия в отношении третейского суда (далее - заявление о содействии), поданного лицом или лицами, участвующими в третейском разбирательстве.</w:t>
      </w:r>
    </w:p>
    <w:p>
      <w:pPr>
        <w:spacing w:after="120"/>
        <w:ind w:firstLine="709"/>
      </w:pPr>
      <w:r>
        <w:rPr>
          <w:sz w:val="24"/>
        </w:rPr>
        <w:t xml:space="preserve">5. Заявление о содействии подается в районный суд по месту осуществления соответствующего третейского разбирательства в срок, не превышающий одного месяца со дня, когда лицу, подающему заявление о содействии, стало известно или должно было стать известно об обстоятельствах, являющихся основанием для подачи заявления о содействии.</w:t>
      </w:r>
    </w:p>
    <w:p>
      <w:pPr>
        <w:spacing w:after="120"/>
        <w:ind w:firstLine="709"/>
      </w:pPr>
      <w:r>
        <w:rPr>
          <w:sz w:val="24"/>
        </w:rPr>
        <w:t xml:space="preserve">6. Заявление о содействии оплачивается государственной пошлиной в размере, предусмотренном федеральным законом для оплаты искового заявления неимущественного характера.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427.1</dc:title>
  <dc:creator>АРБИТРАЖ! · arbi.ru</dc:creator>
  <cp:lastModifiedBy>АРБИТРАЖ!</cp:lastModifiedBy>
  <dcterms:created xsi:type="dcterms:W3CDTF">2026-10-22T22:46:45.657Z</dcterms:created>
</cp:coreProperties>
</file>