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содействии рассматривается единолично судьей районного суда по правилам рассмотрения дела судом первой инстанции, предусмотренным настоящим Кодексом, с учетом особенностей, установленных настоящей главой, в срок, не превышающий одного месяца со дня поступления заявления о содействии в районный суд.</w:t>
      </w:r>
    </w:p>
    <w:p>
      <w:pPr>
        <w:spacing w:after="120"/>
        <w:ind w:firstLine="709"/>
      </w:pPr>
      <w:r>
        <w:rPr>
          <w:sz w:val="24"/>
        </w:rPr>
        <w:t xml:space="preserve">2. Стороны третейского разбирательства извещаются судом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к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возражений.</w:t>
      </w:r>
    </w:p>
    <w:p>
      <w:pPr>
        <w:spacing w:after="120"/>
        <w:ind w:firstLine="709"/>
      </w:pPr>
      <w:r>
        <w:rPr>
          <w:sz w:val="24"/>
        </w:rPr>
        <w:t xml:space="preserve">4. Если к моменту рассмотрения судом заявления о содействии для решения вопроса, указанного в пункте 1 части второй статьи 427.1 настоящего Кодекса, будет вынесено решение третейского суда по соответствующему спору, заявление о содействии подлежит оставлению без рассмотрения в связи с завершением третейского разбирательства. В этом случае сторона третейского разбирательства, подавшая заявление о содействии, не лишена права ссылаться на обстоятельства, являющиеся основанием для подачи заявления о содействии,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спору.</w:t>
      </w:r>
    </w:p>
    <w:p>
      <w:pPr>
        <w:spacing w:after="120"/>
        <w:ind w:firstLine="709"/>
      </w:pPr>
      <w:r>
        <w:rPr>
          <w:sz w:val="24"/>
        </w:rPr>
        <w:t xml:space="preserve">5. Судья, выполнявший функции содействия в отношении третейского суда, указанные в части второй статьи 427.1 настоящего Кодекса,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со статьей 17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427.3</dc:title>
  <dc:creator>АРБИТРАЖ! · arbi.ru</dc:creator>
  <cp:lastModifiedBy>АРБИТРАЖ!</cp:lastModifiedBy>
  <dcterms:created xsi:type="dcterms:W3CDTF">2026-10-22T20:13:33.816Z</dcterms:created>
</cp:coreProperties>
</file>