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ЖК РФ, ст. 1</w:t>
      </w:r>
    </w:p>
    <w:p>
      <w:pPr>
        <w:spacing w:after="120"/>
        <w:ind w:firstLine="709"/>
      </w:pPr>
      <w:r>
        <w:rPr>
          <w:sz w:val="24"/>
        </w:rPr>
        <w:t xml:space="preserve">Акт: Жилищный кодекс Российской Федерации № 188-ФЗ</w:t>
      </w:r>
    </w:p>
    <w:p>
      <w:pPr>
        <w:spacing w:after="120"/>
        <w:ind w:firstLine="709"/>
      </w:pPr>
      <w:r>
        <w:rPr>
          <w:sz w:val="24"/>
        </w:rPr>
        <w:t xml:space="preserve">Источник: https://www.consultant.ru/document/cons_doc_LAW_51057/</w:t>
      </w:r>
    </w:p>
    <w:p>
      <w:pPr>
        <w:spacing w:after="120"/>
        <w:ind w:firstLine="709"/>
      </w:pPr>
      <w:r>
        <w:rPr>
          <w:sz w:val="24"/>
        </w:rPr>
        <w:t xml:space="preserve">Раздел: Глава 1. Основные положения. Жилищное законодательство</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Жилищное законодательство основывается на необходимости обеспечения органами государственной власти и органами местного самоуправления условий для осуществления гражданами права на жилище, его безопасности, на неприкосновенности и недопустимости произвольного лишения жилища, на необходимости беспрепятственного осуществления вытекающих из отношений, регулируемых жилищным законодательством, прав (далее - жилищные права), а также на признании равенства участников регулируемых жилищным законодательством отношений (далее - жилищные отношения) по владению, пользованию и распоряжению жилыми помещениями, если иное не вытекает из настоящего Кодекса, другого федерального закона или существа соответствующих отношений, на необходимости обеспечения восстановления нарушенных жилищных прав, их судебной защиты, обеспечения сохранности жилищного фонда и использования жилых помещений по назначению.</w:t>
      </w:r>
    </w:p>
    <w:p>
      <w:pPr>
        <w:spacing w:after="120"/>
        <w:ind w:firstLine="709"/>
      </w:pPr>
      <w:r>
        <w:rPr>
          <w:sz w:val="24"/>
        </w:rPr>
        <w:t xml:space="preserve">2. Граждане по своему усмотрению и в своих интересах осуществляют принадлежащие им жилищные права, в том числе распоряжаются ими. Граждане свободны в установлении и реализации своих жилищных прав в силу договора и (или) иных предусмотренных жилищным законодательством оснований. Граждане, осуществляя жилищные права и исполняя вытекающие из жилищных отношений обязанности, не должны нарушать права, свободы и законные интересы других граждан.</w:t>
      </w:r>
    </w:p>
    <w:p>
      <w:pPr>
        <w:spacing w:after="120"/>
        <w:ind w:firstLine="709"/>
      </w:pPr>
      <w:r>
        <w:rPr>
          <w:sz w:val="24"/>
        </w:rPr>
        <w:t xml:space="preserve">3. Жилищные права могут быть ограничены на основании федерального закона и только в той мере, в какой это необходимо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w:t>
      </w:r>
    </w:p>
    <w:p>
      <w:pPr>
        <w:spacing w:after="120"/>
        <w:ind w:firstLine="709"/>
      </w:pPr>
      <w:r>
        <w:rPr>
          <w:sz w:val="24"/>
        </w:rPr>
        <w:t xml:space="preserve">4. Граждане, законно находящиеся на территории Российской Федерации, имеют право свободного выбора жилых помещений для проживания в качестве собственников, нанимателей или на иных основаниях, предусмотренных законодательством.</w:t>
      </w:r>
    </w:p>
    <w:p>
      <w:pPr>
        <w:spacing w:after="120"/>
        <w:ind w:firstLine="709"/>
      </w:pPr>
      <w:r>
        <w:rPr>
          <w:sz w:val="24"/>
        </w:rPr>
        <w:t xml:space="preserve">5. Ограничение права граждан на свободу выбора жилых помещений для проживания допускается только на основании настоящего Кодекса, другого федерального закона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ЖК РФ, ст. 1</dc:title>
  <dc:creator>АРБИТРАЖ! · arbi.ru</dc:creator>
  <cp:lastModifiedBy>АРБИТРАЖ!</cp:lastModifiedBy>
  <dcterms:created xsi:type="dcterms:W3CDTF">2026-10-22T18:04:55.197Z</dcterms:created>
</cp:coreProperties>
</file>