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6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положения. Жилищное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Акты жилищного законодательства не имеют обратной силы и применяются к жилищным отношениям, возникшим после введения его в действие.</w:t>
      </w:r>
    </w:p>
    <w:p>
      <w:pPr>
        <w:spacing w:after="120"/>
        <w:ind w:firstLine="709"/>
      </w:pPr>
      <w:r>
        <w:rPr>
          <w:sz w:val="24"/>
        </w:rPr>
        <w:t xml:space="preserve">2. Действие акта жилищного законодательства может распространяться на жилищные отношения, возникшие до введения его в действие, только в случаях , прямо предусмотренных этим актом.</w:t>
      </w:r>
    </w:p>
    <w:p>
      <w:pPr>
        <w:spacing w:after="120"/>
        <w:ind w:firstLine="709"/>
      </w:pPr>
      <w:r>
        <w:rPr>
          <w:sz w:val="24"/>
        </w:rPr>
        <w:t xml:space="preserve">3. В жилищных отношениях, возникших до введения в действие акта жилищного законодательства, данный акт применяется к жилищным правам и обязанностям, возникшим после введения его в действие.</w:t>
      </w:r>
    </w:p>
    <w:p>
      <w:pPr>
        <w:spacing w:after="120"/>
        <w:ind w:firstLine="709"/>
      </w:pPr>
      <w:r>
        <w:rPr>
          <w:sz w:val="24"/>
        </w:rPr>
        <w:t xml:space="preserve">4. Акт жилищного законодательства может применяться к жилищным правам и обязанностям, возникшим до введения данного акта в действие, в случае , если указанные права и обязанности возникли в силу договора, заключенного до введения данного акта в действие, и если данным актом прямо установлено, что его действие распространяется на отношения, возникшие из ранее заключенных договоров.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6</dc:title>
  <dc:creator>АРБИТРАЖ! · arbi.ru</dc:creator>
  <cp:lastModifiedBy>АРБИТРАЖ!</cp:lastModifiedBy>
  <dcterms:created xsi:type="dcterms:W3CDTF">2026-10-22T22:30:29.737Z</dcterms:created>
</cp:coreProperties>
</file>