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положения. Жилищное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Защита нарушенных жилищных прав осуществляется судом в соответствии с подсудностью дел, установленной процессуальным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Защита жилищных прав в административном порядке осуществляется только в случаях, предусмотренных настоящим Кодексом, другим федеральным законом. Решение, принятое в административном порядке, может быть обжаловано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3. Защита жилищных прав осуществляется путем:</w:t>
      </w:r>
    </w:p>
    <w:p>
      <w:pPr>
        <w:spacing w:after="120"/>
        <w:ind w:firstLine="709"/>
      </w:pPr>
      <w:r>
        <w:rPr>
          <w:sz w:val="24"/>
        </w:rPr>
        <w:t xml:space="preserve">1) признания жилищного права;</w:t>
      </w:r>
    </w:p>
    <w:p>
      <w:pPr>
        <w:spacing w:after="120"/>
        <w:ind w:firstLine="709"/>
      </w:pPr>
      <w:r>
        <w:rPr>
          <w:sz w:val="24"/>
        </w:rPr>
        <w:t xml:space="preserve">2) восстановления положения, существовавшего до нарушения жилищного права, и пресечения действий, нарушающих это право или создающих угрозу его нарушения;</w:t>
      </w:r>
    </w:p>
    <w:p>
      <w:pPr>
        <w:spacing w:after="120"/>
        <w:ind w:firstLine="709"/>
      </w:pPr>
      <w:r>
        <w:rPr>
          <w:sz w:val="24"/>
        </w:rPr>
        <w:t xml:space="preserve">3) 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самоуправления, нарушающих жилищные права и противоречащих настоящему Кодексу или принятым в соответствии с настоящим Кодексом федеральному закону, иному нормативному правовому акту, имеющим большую, чем указанные нормативный правовой акт государственного органа либо нормативный правовой акт органа местного самоуправления, юридическую силу;</w:t>
      </w:r>
    </w:p>
    <w:p>
      <w:pPr>
        <w:spacing w:after="120"/>
        <w:ind w:firstLine="709"/>
      </w:pPr>
      <w:r>
        <w:rPr>
          <w:sz w:val="24"/>
        </w:rPr>
        <w:t xml:space="preserve">4) неприменения судом нормативного правового акта государственного органа или нормативного правового акта органа местного самоуправления, противоречащих настоящему Кодексу или принятым в соответствии с настоящим Кодексом федеральному закону, иному нормативному правовому акту, имеющим большую, чем указанные нормативный правовой акт государственного органа или нормативный правовой акт органа местного самоуправления, юридическую силу;</w:t>
      </w:r>
    </w:p>
    <w:p>
      <w:pPr>
        <w:spacing w:after="120"/>
        <w:ind w:firstLine="709"/>
      </w:pPr>
      <w:r>
        <w:rPr>
          <w:sz w:val="24"/>
        </w:rPr>
        <w:t xml:space="preserve">5) прекращения или изменения жилищного правоотношения;</w:t>
      </w:r>
    </w:p>
    <w:p>
      <w:pPr>
        <w:spacing w:after="120"/>
        <w:ind w:firstLine="709"/>
      </w:pPr>
      <w:r>
        <w:rPr>
          <w:sz w:val="24"/>
        </w:rPr>
        <w:t xml:space="preserve">6) иными способами, предусмотренными настоящим Кодексом, другим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11</dc:title>
  <dc:creator>АРБИТРАЖ! · arbi.ru</dc:creator>
  <cp:lastModifiedBy>АРБИТРАЖ!</cp:lastModifiedBy>
  <dcterms:created xsi:type="dcterms:W3CDTF">2026-10-22T22:34:56.978Z</dcterms:created>
</cp:coreProperties>
</file>