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24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3. Перевод жилого помещения в нежилое помещение и нежилого помещения в жилое помещение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Отказ в переводе жилого помещения в нежилое помещение или нежилого помещения в жилое помещение допускается в случае:</w:t>
      </w:r>
    </w:p>
    <w:p>
      <w:pPr>
        <w:spacing w:after="120"/>
        <w:ind w:firstLine="709"/>
      </w:pPr>
      <w:r>
        <w:rPr>
          <w:sz w:val="24"/>
        </w:rPr>
        <w:t xml:space="preserve">1) непредставления определенных частью 2 статьи 23 настоящего Кодекса документов, обязанность по представлению которых возложена на заявителя;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03.12.2011 N 383-ФЗ)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1.1) поступления в орган, осуществляющий перевод помещений,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перевода жилого помещения в нежилое помещение или нежилого помещения в жилое помещение в соответствии с частью 2 статьи 23 настоящего Кодекса, если соответствующий документ не представлен заявителем по собственной инициативе. Отказ в переводе помещения по указанному основанию допускается в случае, если орган, осуществляющий перевод помещений, после получения указанного ответа уведомил заявителя о получении такого ответа, предложил заявителю представить документ и (или) информацию, необходимые для перевода жилого помещения в нежилое помещение или нежилого помещения в жилое помещение в соответствии с частью 2 статьи 23 настоящего Кодекса, и не получил от заявителя такие документ и (или) информацию в течение пятнадцати рабочих дней со дня направления уведомления;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03.12.2011 N 383-ФЗ)</w:t>
      </w:r>
    </w:p>
    <w:p>
      <w:pPr>
        <w:spacing w:after="120"/>
        <w:ind w:firstLine="709"/>
      </w:pPr>
      <w:r>
        <w:rPr>
          <w:sz w:val="24"/>
        </w:rPr>
        <w:t xml:space="preserve">2) представления документов в ненадлежащий орган;</w:t>
      </w:r>
    </w:p>
    <w:p>
      <w:pPr>
        <w:spacing w:after="120"/>
        <w:ind w:firstLine="709"/>
      </w:pPr>
      <w:r>
        <w:rPr>
          <w:sz w:val="24"/>
        </w:rPr>
        <w:t xml:space="preserve">3) несоблюдения предусмотренных статьей 22 настоящего Кодекса условий перевода помещения;</w:t>
      </w:r>
    </w:p>
    <w:p>
      <w:pPr>
        <w:spacing w:after="120"/>
        <w:ind w:firstLine="709"/>
      </w:pPr>
      <w:r>
        <w:rPr>
          <w:sz w:val="24"/>
        </w:rPr>
        <w:t xml:space="preserve">4) несоответствия проекта переустройства и (или) перепланировки помещения в многоквартирном доме требованиям законодательства.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27.12.2018 N 558-ФЗ)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Решение об отказе в переводе помещения должно содержать основания отказа с обязательной ссылкой на нарушения, предусмотренные частью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3. Решение об отказе в переводе помещения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24</dc:title>
  <dc:creator>АРБИТРАЖ! · arbi.ru</dc:creator>
  <cp:lastModifiedBy>АРБИТРАЖ!</cp:lastModifiedBy>
  <dcterms:created xsi:type="dcterms:W3CDTF">2026-10-22T12:19:37.489Z</dcterms:created>
</cp:coreProperties>
</file>