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4. Переустройство и перепланировка помещения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25 ЖК РФ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или орган местного самоуправления хочет признать переустройство или перепланировку незаконными и обязать привести помещение в первоначальное состояние</w:t>
      </w:r>
    </w:p>
    <w:p>
      <w:pPr>
        <w:spacing w:after="120"/>
        <w:ind w:firstLine="709"/>
      </w:pPr>
      <w:r>
        <w:rPr>
          <w:sz w:val="24"/>
        </w:rPr>
        <w:t xml:space="preserve">- Собственник или наниматель помещения хочет сохранить помещение в переустроенном или перепланированном состоянии</w:t>
      </w:r>
    </w:p>
    <w:p>
      <w:pPr>
        <w:spacing w:after="120"/>
        <w:ind w:firstLine="709"/>
      </w:pPr>
      <w:r>
        <w:rPr>
          <w:sz w:val="24"/>
        </w:rPr>
        <w:t xml:space="preserve">1. Переустройство 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случаях, предусмотренных статьей 40 настоящего Кодекса, и (или) изменение его внутренней планировки (в том числе без изменения границ и (или) площади помещения). В результате перепланировки помещения также могут быть изменены границы и (или) площадь смежных помещений. Перепланировка влечет за собой необходимость внесения изменений в сведения Единого государственного реестра недвижимости о границах и (или) площади помещения (помещений)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19.12.2023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25</dc:title>
  <dc:creator>АРБИТРАЖ! · arbi.ru</dc:creator>
  <cp:lastModifiedBy>АРБИТРАЖ!</cp:lastModifiedBy>
  <dcterms:created xsi:type="dcterms:W3CDTF">2026-10-22T20:17:49.568Z</dcterms:created>
</cp:coreProperties>
</file>