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33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5. Права и обязанности собственника жилого помещения и иных проживающих в принадлежащем ему помещении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Гражданин, которому по завещательному отказу предоставлено право пользования жилым помещением на указанный в соответствующем завещании срок, пользуется данным жилым помещением наравне с собственником данного жилого помещения. По истечении установленного завещательным отказом срока пользования жилым помещением право пользования им у соответствующего гражданина прекращается, за исключением случаев, если право пользования данным жилым помещением у соответствующего гражданина возникло на ином законном основании.</w:t>
      </w:r>
    </w:p>
    <w:p>
      <w:pPr>
        <w:spacing w:after="120"/>
        <w:ind w:firstLine="709"/>
      </w:pPr>
      <w:r>
        <w:rPr>
          <w:sz w:val="24"/>
        </w:rPr>
        <w:t xml:space="preserve">2. Дееспособные и ограниченные судом в дееспособности граждане, проживающие в жилом помещении, предоставленном по завещательному отказу, несут солидарную с собственником такого жилого помещения ответственность по обязательствам, вытекающим из пользования таким жилым помещением, если иное не предусмотрено соглашением между указанными собственником и гражданами.</w:t>
      </w:r>
    </w:p>
    <w:p>
      <w:pPr>
        <w:spacing w:after="120"/>
        <w:ind w:firstLine="709"/>
      </w:pPr>
      <w:r>
        <w:rPr>
          <w:sz w:val="24"/>
        </w:rPr>
        <w:t xml:space="preserve">(часть вторая в ред. Федерального закона от 24.04.2008 N 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Гражданин, проживающий в жилом помещении, предоставленном по завещательному отказу, вправе потребовать государственной регистрации права пользования жилым помещением, возникающего из завещательного отказа.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33</dc:title>
  <dc:creator>АРБИТРАЖ! · arbi.ru</dc:creator>
  <cp:lastModifiedBy>АРБИТРАЖ!</cp:lastModifiedBy>
  <dcterms:created xsi:type="dcterms:W3CDTF">2026-10-22T23:39:35.255Z</dcterms:created>
</cp:coreProperties>
</file>