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38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Общее имущество собственников помещений в многоквартирном доме. Общее собрание таких собственников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38 ЖК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или лицо, действующее в его интересах, хочет признать незаконным начисление взносов на капитальный ремонт</w:t>
      </w:r>
    </w:p>
    <w:p>
      <w:pPr>
        <w:spacing w:after="120"/>
        <w:ind w:firstLine="709"/>
      </w:pPr>
      <w:r>
        <w:rPr>
          <w:sz w:val="24"/>
        </w:rPr>
        <w:t xml:space="preserve">1. При приобретении в собственность помещения в многоквартирном доме к приобретателю переходит доля в праве общей собственности на общее имущество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2. Условия договора, которыми переход права собственности на помещение в многоквартирном доме не сопровождается переходом доли в праве общей собственности на общее имущество в таком доме, являются ничтожными.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38</dc:title>
  <dc:creator>АРБИТРАЖ! · arbi.ru</dc:creator>
  <cp:lastModifiedBy>АРБИТРАЖ!</cp:lastModifiedBy>
  <dcterms:created xsi:type="dcterms:W3CDTF">2026-10-22T22:46:16.014Z</dcterms:created>
</cp:coreProperties>
</file>