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Собственники комнат в коммунальной квартире несут бремя расходов на содержание общего имущества в данной квартире.</w:t>
      </w:r>
    </w:p>
    <w:p>
      <w:pPr>
        <w:spacing w:after="120"/>
        <w:ind w:firstLine="709"/>
      </w:pPr>
      <w:r>
        <w:rPr>
          <w:sz w:val="24"/>
        </w:rPr>
        <w:t xml:space="preserve">2. Доля обязательных расходов на содержание общего имущества в коммунальной квартире, бремя которых несет собственник комнаты в данной квартире, определяется долей в праве общей собственности на общее имущество в данной квартире указанного собственника.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43</dc:title>
  <dc:creator>АРБИТРАЖ! · arbi.ru</dc:creator>
  <cp:lastModifiedBy>АРБИТРАЖ!</cp:lastModifiedBy>
  <dcterms:created xsi:type="dcterms:W3CDTF">2026-10-23T15:23:53.149Z</dcterms:created>
</cp:coreProperties>
</file>