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62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или управляющую организацию провести текущий или капитальный ремонт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Предметом договора социального найма жилого помещения должно быть жилое помещение (жилой дом, квартира, часть жилого дома или квартиры).</w:t>
      </w:r>
    </w:p>
    <w:p>
      <w:pPr>
        <w:spacing w:after="120"/>
        <w:ind w:firstLine="709"/>
      </w:pPr>
      <w:r>
        <w:rPr>
          <w:sz w:val="24"/>
        </w:rPr>
        <w:t xml:space="preserve">2. Самостоятельным предметом договора социального найма жилого помещения не могут быть неизолированное жилое помещение, помещения вспомогательного использования, а также общее имущество в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62</dc:title>
  <dc:creator>АРБИТРАЖ! · arbi.ru</dc:creator>
  <cp:lastModifiedBy>АРБИТРАЖ!</cp:lastModifiedBy>
  <dcterms:created xsi:type="dcterms:W3CDTF">2026-10-22T20:22:14.322Z</dcterms:created>
</cp:coreProperties>
</file>