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63 во взаимосвязи с другими нормами см. Постановление КС РФ от 23.04.2024 N 20-П.</w:t>
      </w:r>
    </w:p>
    <w:p>
      <w:pPr>
        <w:spacing w:after="120"/>
        <w:ind w:firstLine="709"/>
      </w:pPr>
      <w:r>
        <w:rPr>
          <w:sz w:val="24"/>
        </w:rPr>
        <w:t xml:space="preserve">1.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использования.</w:t>
      </w:r>
    </w:p>
    <w:p>
      <w:pPr>
        <w:spacing w:after="120"/>
        <w:ind w:firstLine="709"/>
      </w:pPr>
      <w:r>
        <w:rPr>
          <w:sz w:val="24"/>
        </w:rPr>
        <w:t xml:space="preserve">2. Типовой договор социального найма жилого помещения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23.07.2008 N 160-ФЗ , от 27.07.2010 N 237-ФЗ , от 19.10.2023 N 503-ФЗ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63</dc:title>
  <dc:creator>АРБИТРАЖ! · arbi.ru</dc:creator>
  <cp:lastModifiedBy>АРБИТРАЖ!</cp:lastModifiedBy>
  <dcterms:created xsi:type="dcterms:W3CDTF">2026-10-22T22:35:54.202Z</dcterms:created>
</cp:coreProperties>
</file>