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68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68 ЖК РФ</w:t>
      </w:r>
    </w:p>
    <w:p>
      <w:pPr>
        <w:spacing w:after="120"/>
        <w:ind w:firstLine="709"/>
      </w:pPr>
      <w:r>
        <w:rPr>
          <w:sz w:val="24"/>
        </w:rPr>
        <w:t xml:space="preserve">- Наймодатель (управляющая или ресурсоснабжающая организация) хочет взыскать задолженность по оплате жилого помещения и/или коммунальных услуг</w:t>
      </w:r>
    </w:p>
    <w:p>
      <w:pPr>
        <w:spacing w:after="120"/>
        <w:ind w:firstLine="709"/>
      </w:pPr>
      <w:r>
        <w:rPr>
          <w:sz w:val="24"/>
        </w:rPr>
        <w:t xml:space="preserve">Наниматель жилого помещения по договору социального найма, не исполняющий обязанностей, предусмотренных жилищным законодательством и договором социального найма жилого помещения, несет ответственность, предусмотренную законодательством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68</dc:title>
  <dc:creator>АРБИТРАЖ! · arbi.ru</dc:creator>
  <cp:lastModifiedBy>АРБИТРАЖ!</cp:lastModifiedBy>
  <dcterms:created xsi:type="dcterms:W3CDTF">2026-10-22T20:24:06.293Z</dcterms:created>
</cp:coreProperties>
</file>