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86 ЖК РФ</w:t>
      </w:r>
    </w:p>
    <w:p>
      <w:pPr>
        <w:spacing w:after="120"/>
        <w:ind w:firstLine="709"/>
      </w:pPr>
      <w:r>
        <w:rPr>
          <w:sz w:val="24"/>
        </w:rPr>
        <w:t xml:space="preserve">-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</w:t>
      </w:r>
    </w:p>
    <w:p>
      <w:pPr>
        <w:spacing w:after="120"/>
        <w:ind w:firstLine="709"/>
      </w:pPr>
      <w:r>
        <w:rPr>
          <w:sz w:val="24"/>
        </w:rPr>
        <w:t xml:space="preserve">Если дом, в котором находится жилое помещение, занимаемое по договору социального найма, подлежит сносу, выселяемым из него гражданам органом государственной власти или органом местного самоуправления, принявшими решение о сносе такого дома, предоставляются другие благоустроенные жилые помещения по договорам социального найма.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86</dc:title>
  <dc:creator>АРБИТРАЖ! · arbi.ru</dc:creator>
  <cp:lastModifiedBy>АРБИТРАЖ!</cp:lastModifiedBy>
  <dcterms:created xsi:type="dcterms:W3CDTF">2026-10-22T22:16:28.684Z</dcterms:created>
</cp:coreProperties>
</file>