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87.2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499-ФЗ)</w:t>
      </w:r>
    </w:p>
    <w:p>
      <w:pPr>
        <w:spacing w:after="120"/>
        <w:ind w:firstLine="709"/>
      </w:pPr>
      <w:r>
        <w:rPr>
          <w:sz w:val="24"/>
        </w:rPr>
        <w:t xml:space="preserve">Если жилое помещение, занимаемое по договору социального найма, подлежит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 , подлежащим выселению из него гражданам органом государственной власти или органом местного самоуправления, принявшими решение об изъятии, предоставляются другие благоустроенные жилые помещения по договорам социального найма.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87.2</dc:title>
  <dc:creator>АРБИТРАЖ! · arbi.ru</dc:creator>
  <cp:lastModifiedBy>АРБИТРАЖ!</cp:lastModifiedBy>
  <dcterms:created xsi:type="dcterms:W3CDTF">2026-10-22T22:01:04.437Z</dcterms:created>
</cp:coreProperties>
</file>