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Договор найма жилого помещения жилищного фонда социального использования заключается на срок не менее чем один год, но не более чем десять лет.</w:t>
      </w:r>
    </w:p>
    <w:p>
      <w:pPr>
        <w:spacing w:after="120"/>
        <w:ind w:firstLine="709"/>
      </w:pPr>
      <w:r>
        <w:rPr>
          <w:sz w:val="24"/>
        </w:rPr>
        <w:t xml:space="preserve">2. Указанный в части 1 настоящей статьи срок определяется по выбору нанимателя по договору найма жилого помещения жилищного фонда социального использования, если иное не установлено частью 3 настоящей статьи, частью 2 статьи 91.9 или в соответствии с пунктом 2 части 3 статьи 91.17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N 102-ФЗ "Об ипотеке (залоге недвижимости)".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91.6</dc:title>
  <dc:creator>АРБИТРАЖ! · arbi.ru</dc:creator>
  <cp:lastModifiedBy>АРБИТРАЖ!</cp:lastModifiedBy>
  <dcterms:created xsi:type="dcterms:W3CDTF">2026-10-22T19:08:05.438Z</dcterms:created>
</cp:coreProperties>
</file>