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8.1. Наем жилого помещения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1. Стороны договора найма жилого помещения жилищного фонда социального использования имеют права и обязанности, предусмотренные частью 2 статьи 61 , статьей 65 , пунктами 1 , 3 и 5 части 1 , частью 2 , пунктами 1 - 3 , 5 и 6 части 3 , частью 4 статьи 67 , статьями 70 , 71 и 80 настоящего Кодекса, а также несут ответственность, предусмотренную статьями 66 и 68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Содержание и текущий ремонт жилого помещения, предоставленного по договору найма жилого помещения жилищного фонда социального использования, являются обязанностью наймодателя, если иное не установлено указанным договором.</w:t>
      </w:r>
    </w:p>
    <w:p>
      <w:pPr>
        <w:spacing w:after="120"/>
        <w:ind w:firstLine="709"/>
      </w:pPr>
      <w:r>
        <w:rPr>
          <w:sz w:val="24"/>
        </w:rPr>
        <w:t xml:space="preserve">3. 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91.7</dc:title>
  <dc:creator>АРБИТРАЖ! · arbi.ru</dc:creator>
  <cp:lastModifiedBy>АРБИТРАЖ!</cp:lastModifiedBy>
  <dcterms:created xsi:type="dcterms:W3CDTF">2026-10-22T21:26:29.727Z</dcterms:created>
</cp:coreProperties>
</file>