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91.20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8.2. Предоставление жилых помещений по договорам найма жилых помещений жилищного фонда социального использования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1. Управление наемным домом осуществляется с учетом требований, установленных частями 1 - 1.2 , 15 и 16 статьи 161 настоящего Кодекса, наймодателем жилых помещений в таком доме, если собственником такого дома или помещений в нем не принято решение о том, что управление таким домом осуществляется управляющей организацией в соответствии с частями 2.3 , 9 и 10 статьи 161 настоящего Кодекса по договору управления, заключенному в соответствии со статьей 162 настоящего Кодекса собственником или управомоченным им наймодателем.</w:t>
      </w:r>
    </w:p>
    <w:p>
      <w:pPr>
        <w:spacing w:after="120"/>
        <w:ind w:firstLine="709"/>
      </w:pPr>
      <w:r>
        <w:rPr>
          <w:sz w:val="24"/>
        </w:rPr>
        <w:t xml:space="preserve">2. Наймодатель жилых помещений в наемном доме,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домом, несет ответственность перед таким собственником за оказание всех услуг и (или) выполнение работ, которые обеспечивают надлежащее содержание наемного дома и качество которых должно соответствовать требованиям технических регламентов и установленным Правительством Российской Федерации правилам содержания общего имущества в многоквартирном доме в случае, если наемный дом является многоквартирным домом, за обеспечение предоставления коммунальных услуг в зависимости от уровня благоустройства наемного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собственникам и пользователям жилых домов.</w:t>
      </w:r>
    </w:p>
    <w:p>
      <w:pPr>
        <w:spacing w:after="120"/>
        <w:ind w:firstLine="709"/>
      </w:pPr>
      <w:r>
        <w:rPr>
          <w:sz w:val="24"/>
        </w:rPr>
        <w:t xml:space="preserve">3. Порядок управления наемными домами, все помещения в которых находятся в собственности Российской Федерации, субъекта Российской Федерации или муниципального образования, и являющимися наемными домами и находящимися в собственности Российской Федерации, субъекта Российской Федерации или муниципального образования жилыми домами устанавливается соответственно уполномоченным Правительством Российской Федерации федеральным органом исполнительной власти, органом государственной власти субъекта Российской Федерации и органом местного самоуправления.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91.20</dc:title>
  <dc:creator>АРБИТРАЖ! · arbi.ru</dc:creator>
  <cp:lastModifiedBy>АРБИТРАЖ!</cp:lastModifiedBy>
  <dcterms:created xsi:type="dcterms:W3CDTF">2026-10-22T18:51:17.201Z</dcterms:created>
</cp:coreProperties>
</file>