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153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153 ЖК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Лицо, управляющее МКД, хочет взыскать с собственника помещения либо с учреждения (предприятия), владеющего помещением на праве хозяйственного ведения или оперативного управления, задолженность по оплате взносов на капитальный ремонт общего имущества МКД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хочет взыскать задолженность с собственника помещения, не оплатившего жилищно-коммунальные услуги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хочет взыскать переплату за жилищно-коммунальные услуги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(ресурсоснабжающая организация) хочет взыскать с собственника (нанимателя) жилого помещения задолженность по оплате жилищно-коммунальных услуг</w:t>
      </w:r>
    </w:p>
    <w:p>
      <w:pPr>
        <w:spacing w:after="120"/>
        <w:ind w:firstLine="709"/>
      </w:pPr>
      <w:r>
        <w:rPr>
          <w:sz w:val="24"/>
        </w:rPr>
        <w:t xml:space="preserve">1. Граждане и организации обязаны своевременно и полностью вносить плату за жилое помещение и коммунальные услуги.</w:t>
      </w:r>
    </w:p>
    <w:p>
      <w:pPr>
        <w:spacing w:after="120"/>
        <w:ind w:firstLine="709"/>
      </w:pPr>
      <w:r>
        <w:rPr>
          <w:sz w:val="24"/>
        </w:rPr>
        <w:t xml:space="preserve">2. Обязанность по внесению платы за жилое помещение и коммунальные услуги возникает у:</w:t>
      </w:r>
    </w:p>
    <w:p>
      <w:pPr>
        <w:spacing w:after="120"/>
        <w:ind w:firstLine="709"/>
      </w:pPr>
      <w:r>
        <w:rPr>
          <w:sz w:val="24"/>
        </w:rPr>
        <w:t xml:space="preserve">1) нанимателя жилого помещения по договору социального найма с момента заключения такого договора;</w:t>
      </w:r>
    </w:p>
    <w:p>
      <w:pPr>
        <w:spacing w:after="120"/>
        <w:ind w:firstLine="709"/>
      </w:pPr>
      <w:r>
        <w:rPr>
          <w:sz w:val="24"/>
        </w:rPr>
        <w:t xml:space="preserve">1.1) нанимателя жилого помещения по договору найма жилого помещения жилищного фонда социального использования с момента заключения данного договора;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2) арендатора жилого помещения государственного или муниципального жилищного фонда с момента заключения соответствующего договора аренды;</w:t>
      </w:r>
    </w:p>
    <w:p>
      <w:pPr>
        <w:spacing w:after="120"/>
        <w:ind w:firstLine="709"/>
      </w:pPr>
      <w:r>
        <w:rPr>
          <w:sz w:val="24"/>
        </w:rPr>
        <w:t xml:space="preserve">3)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договора;</w:t>
      </w:r>
    </w:p>
    <w:p>
      <w:pPr>
        <w:spacing w:after="120"/>
        <w:ind w:firstLine="709"/>
      </w:pPr>
      <w:r>
        <w:rPr>
          <w:sz w:val="24"/>
        </w:rPr>
        <w:t xml:space="preserve">4) члена жилищного кооператива с момента предоставления жилого помещения жилищным кооперативом;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5 ч. 2 ст. 153 признан частично не соответствующей Конституции РФ Постановлением КС РФ от 28.12.2021 N 55-П. О правовом регулировании до внесения соответствующих изменений см. п. 8.3 указанного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5) собственника помещения с момента возникновения права собственности на такое помещение с учетом правила, установленного частью 3 статьи 169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лица, принявшего от застройщика (лица, обеспечивающего строительство многоквартирного дома) после выдачи ему разрешения на ввод многоквартирного дома в эксплуатацию помещения в данном доме по передаточному акту или иному документу о передаче, с момента такой передачи;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7) застройщика (лица, обеспечивающего строительство многоквартирного дома) в отношении помещений в данном доме, не переданных иным лицам по передаточному акту или иному документу о передаче, с момента выдачи ему разрешения на ввод многоквартирного дома в эксплуатацию.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3.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153</dc:title>
  <dc:creator>АРБИТРАЖ! · arbi.ru</dc:creator>
  <cp:lastModifiedBy>АРБИТРАЖ!</cp:lastModifiedBy>
  <dcterms:created xsi:type="dcterms:W3CDTF">2026-10-22T12:13:10.699Z</dcterms:created>
</cp:coreProperties>
</file>