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157.1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417-ФЗ)</w:t>
      </w:r>
    </w:p>
    <w:p>
      <w:pPr>
        <w:spacing w:after="120"/>
        <w:ind w:firstLine="709"/>
      </w:pPr>
      <w:r>
        <w:rPr>
          <w:sz w:val="24"/>
        </w:rPr>
        <w:t xml:space="preserve">1. Не допускается повышение размера вносимой гражданами платы за коммунальные услуги выше предельных (максимальных) индексов изменения размера вносимой гражданами платы за коммунальные услуги в муниципальных образованиях (далее - предельные индексы), утвержденных высшим должностным лицом субъекта Российской Федерации. В случаях, предусмотренных законодательством Российской Федерации, предельные индексы утверждаются по согласованию с представительными органами муниципальных образований.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Положения части 1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случаях, предусмотренных частью 1 статьи 157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2. Предельные индексы устанавливаются на основании индексов изменения размера вносимой гражданами платы за коммунальные услуги в среднем по субъектам Российской Федерации, утвержденных Правительством Российской Федерации (далее - индексы по субъектам Российской Федерации). Предельные индексы и индексы по субъектам Российской Федерации устанавливаются на долгосрочный период (на срок не менее чем три года, если иное не установлено Правительством Российской Федерации) в соответствии с основами формирования индексов изменения размера платы граждан за коммунальные услуги в Российской Федерации (далее - основы формирования индексов).</w:t>
      </w:r>
    </w:p>
    <w:p>
      <w:pPr>
        <w:spacing w:after="120"/>
        <w:ind w:firstLine="709"/>
      </w:pPr>
      <w:r>
        <w:rPr>
          <w:sz w:val="24"/>
        </w:rPr>
        <w:t xml:space="preserve">3. Основы формирования индексов утверждаются Правительством Российской Федерации и устанавливают:</w:t>
      </w:r>
    </w:p>
    <w:p>
      <w:pPr>
        <w:spacing w:after="120"/>
        <w:ind w:firstLine="709"/>
      </w:pPr>
      <w:r>
        <w:rPr>
          <w:sz w:val="24"/>
        </w:rPr>
        <w:t xml:space="preserve">1) порядок расчета, утверждения и применения индексов по субъектам Российской Федерации и предельных индексов;</w:t>
      </w:r>
    </w:p>
    <w:p>
      <w:pPr>
        <w:spacing w:after="120"/>
        <w:ind w:firstLine="709"/>
      </w:pPr>
      <w:r>
        <w:rPr>
          <w:sz w:val="24"/>
        </w:rPr>
        <w:t xml:space="preserve">2) основания и порядок изменения индексов по субъектам Российской Федерации и предельных индексов в течение периода их действия, а также основания и порядок выплаты компенсаций организациям, осуществляющим регулируемые виды деятельности в сфере теплоснабжения, водоснабжения, водоотведения, электроснабжения и газоснабжения, за счет средств бюджетов бюджетной системы Российской Федерации в связи с изменениями индексов по субъектам Российской Федерации и (или) предельных индексов;</w:t>
      </w:r>
    </w:p>
    <w:p>
      <w:pPr>
        <w:spacing w:after="120"/>
        <w:ind w:firstLine="709"/>
      </w:pPr>
      <w:r>
        <w:rPr>
          <w:sz w:val="24"/>
        </w:rPr>
        <w:t xml:space="preserve">3) порядок мониторинга и контроля за соблюдением индексов по субъектам Российской Федерации и предельных индексов;</w:t>
      </w:r>
    </w:p>
    <w:p>
      <w:pPr>
        <w:spacing w:after="120"/>
        <w:ind w:firstLine="709"/>
      </w:pPr>
      <w:r>
        <w:rPr>
          <w:sz w:val="24"/>
        </w:rPr>
        <w:t xml:space="preserve">4) основания и порядок согласования предельных индексов представительными органами муниципальных образований;</w:t>
      </w:r>
    </w:p>
    <w:p>
      <w:pPr>
        <w:spacing w:after="120"/>
        <w:ind w:firstLine="709"/>
      </w:pPr>
      <w:r>
        <w:rPr>
          <w:sz w:val="24"/>
        </w:rPr>
        <w:t xml:space="preserve">5) порядок опубликования решений об установлении индексов по субъектам Российской Федерации и предельных индексов,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индексов.</w:t>
      </w:r>
    </w:p>
    <w:p>
      <w:pPr>
        <w:spacing w:after="120"/>
        <w:ind w:firstLine="709"/>
      </w:pPr>
      <w:r>
        <w:rPr>
          <w:sz w:val="24"/>
        </w:rPr>
        <w:t xml:space="preserve">4.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5.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обязательные для исполнения предписания об устранении допущенных нарушений.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157.1</dc:title>
  <dc:creator>АРБИТРАЖ! · arbi.ru</dc:creator>
  <cp:lastModifiedBy>АРБИТРАЖ!</cp:lastModifiedBy>
  <dcterms:created xsi:type="dcterms:W3CDTF">2026-10-22T20:20:15.556Z</dcterms:created>
</cp:coreProperties>
</file>